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A6D2B" w14:textId="2B68E19D" w:rsidR="008A2AA9" w:rsidRDefault="00D728C3" w:rsidP="00921383">
      <w:pPr>
        <w:pStyle w:val="Heading1"/>
      </w:pPr>
      <w:proofErr w:type="spellStart"/>
      <w:r>
        <w:t>Boagent</w:t>
      </w:r>
      <w:proofErr w:type="spellEnd"/>
      <w:r>
        <w:t xml:space="preserve"> Scaling and Sizing</w:t>
      </w:r>
    </w:p>
    <w:p w14:paraId="166DC466" w14:textId="492BF8E5" w:rsidR="00D728C3" w:rsidRDefault="00D728C3" w:rsidP="00D728C3">
      <w:pPr>
        <w:pStyle w:val="Heading2"/>
      </w:pPr>
      <w:r>
        <w:t>Baseline Configuration</w:t>
      </w:r>
    </w:p>
    <w:p w14:paraId="500D3F6E" w14:textId="358D1913" w:rsidR="008A2AA9" w:rsidRDefault="00000000" w:rsidP="00D728C3">
      <w:r>
        <w:t>The baseline platform configuration</w:t>
      </w:r>
      <w:r w:rsidR="00D728C3">
        <w:t xml:space="preserve"> is single tenant with reasonable resource allocation: 8 CPU cores and 10GB RAM. Recommended storage is around 1TB. All around, we offer this as a pure managed SaaS, but it can also be easily deployed “on-prem” (in the client’s cloud).</w:t>
      </w:r>
    </w:p>
    <w:p w14:paraId="6F4423A6" w14:textId="562DC937" w:rsidR="00D728C3" w:rsidRDefault="00D728C3" w:rsidP="00D728C3">
      <w:pPr>
        <w:pStyle w:val="Heading2"/>
      </w:pPr>
      <w:r>
        <w:t>Typical Client Operations</w:t>
      </w:r>
    </w:p>
    <w:p w14:paraId="775E4AA8" w14:textId="77777777" w:rsidR="00921383" w:rsidRDefault="00000000" w:rsidP="00921383">
      <w:r>
        <w:t>With that as the baseline, here’s the range of operational profiles it handles comfortably:</w:t>
      </w:r>
    </w:p>
    <w:p w14:paraId="2E66214E" w14:textId="77777777" w:rsidR="00921383" w:rsidRDefault="00921383" w:rsidP="00921383"/>
    <w:p w14:paraId="69649869" w14:textId="77630FE8" w:rsidR="00921383" w:rsidRPr="00921383" w:rsidRDefault="00D728C3" w:rsidP="00921383">
      <w:r w:rsidRPr="00D728C3">
        <w:rPr>
          <w:u w:val="single"/>
        </w:rPr>
        <w:t>RIA</w:t>
      </w:r>
      <w:r>
        <w:rPr>
          <w:u w:val="single"/>
        </w:rPr>
        <w:t xml:space="preserve"> and Wealth Management</w:t>
      </w:r>
    </w:p>
    <w:p w14:paraId="20CBD85D" w14:textId="77777777" w:rsidR="00921383" w:rsidRDefault="00921383" w:rsidP="00921383">
      <w:pPr>
        <w:rPr>
          <w:u w:val="single"/>
        </w:rPr>
      </w:pPr>
    </w:p>
    <w:p w14:paraId="7C235044" w14:textId="5337DAA5" w:rsidR="008A2AA9" w:rsidRPr="00921383" w:rsidRDefault="00000000" w:rsidP="00921383">
      <w:pPr>
        <w:rPr>
          <w:u w:val="single"/>
        </w:rPr>
      </w:pPr>
      <w:r>
        <w:rPr>
          <w:b/>
          <w:bCs/>
        </w:rPr>
        <w:t>Boutique RIA or family office.</w:t>
      </w:r>
      <w:r>
        <w:t xml:space="preserve"> 1–2 advisory mandates, ~500–2,000 positions, daily reconciliation between the custodian feed and the PMS, 1–2 ops users, 5–20 breaks a day.</w:t>
      </w:r>
    </w:p>
    <w:p w14:paraId="744A6F3F" w14:textId="77777777" w:rsidR="00D728C3" w:rsidRDefault="00D728C3" w:rsidP="00D728C3">
      <w:pPr>
        <w:spacing w:after="140"/>
      </w:pPr>
      <w:r>
        <w:rPr>
          <w:b/>
          <w:bCs/>
        </w:rPr>
        <w:t>Mid-size RIA or wealth manager.</w:t>
      </w:r>
      <w:r>
        <w:t xml:space="preserve"> 200–500 client accounts, 20,000–50,000 positions in aggregate, daily reconciliation across positions, cash, and fees, plus corporate actions on a regular cadence. 3–5 ops users, 100–500 breaks a day, most of which clear automatically through rules.</w:t>
      </w:r>
    </w:p>
    <w:p w14:paraId="71CB4BD8" w14:textId="63FB2FFF" w:rsidR="008A2AA9" w:rsidRPr="00921383" w:rsidRDefault="00921383" w:rsidP="00921383">
      <w:pPr>
        <w:spacing w:after="140"/>
        <w:rPr>
          <w:u w:val="single"/>
        </w:rPr>
      </w:pPr>
      <w:r>
        <w:rPr>
          <w:u w:val="single"/>
        </w:rPr>
        <w:t>Funds and Asset Managers</w:t>
      </w:r>
      <w:r>
        <w:rPr>
          <w:u w:val="single"/>
        </w:rPr>
        <w:br/>
      </w:r>
      <w:r>
        <w:rPr>
          <w:u w:val="single"/>
        </w:rPr>
        <w:br/>
      </w:r>
      <w:r w:rsidR="00D728C3">
        <w:rPr>
          <w:b/>
          <w:bCs/>
        </w:rPr>
        <w:t>Single</w:t>
      </w:r>
      <w:r w:rsidR="00000000">
        <w:rPr>
          <w:b/>
          <w:bCs/>
        </w:rPr>
        <w:t>-strategy</w:t>
      </w:r>
      <w:r w:rsidR="00D728C3">
        <w:rPr>
          <w:b/>
          <w:bCs/>
        </w:rPr>
        <w:t xml:space="preserve"> or low frequency asset class (Fixed Income, Credit, etc.)</w:t>
      </w:r>
      <w:r w:rsidR="00000000">
        <w:rPr>
          <w:b/>
          <w:bCs/>
        </w:rPr>
        <w:t xml:space="preserve"> hedge fund.</w:t>
      </w:r>
      <w:r w:rsidR="00000000">
        <w:t xml:space="preserve"> Master fund plus an optional feeder, 1,000–5,000 positions, daily NAV reconciliation between prime broker and fund admin, 1–2 users (typically CFO/COO and ops), 10–50 breaks a day.</w:t>
      </w:r>
    </w:p>
    <w:p w14:paraId="16990F04" w14:textId="7C4BF36E" w:rsidR="008A2AA9" w:rsidRDefault="00000000">
      <w:pPr>
        <w:spacing w:after="140"/>
      </w:pPr>
      <w:r>
        <w:rPr>
          <w:b/>
          <w:bCs/>
        </w:rPr>
        <w:t xml:space="preserve">Multi-strategy </w:t>
      </w:r>
      <w:r w:rsidR="00D728C3">
        <w:rPr>
          <w:b/>
          <w:bCs/>
        </w:rPr>
        <w:t xml:space="preserve">or mid-frequency </w:t>
      </w:r>
      <w:r>
        <w:rPr>
          <w:b/>
          <w:bCs/>
        </w:rPr>
        <w:t>hedge fund.</w:t>
      </w:r>
      <w:r>
        <w:t xml:space="preserve"> 3–5 strategies, 50,000–</w:t>
      </w:r>
      <w:proofErr w:type="gramStart"/>
      <w:r>
        <w:t>150,000 line</w:t>
      </w:r>
      <w:proofErr w:type="gramEnd"/>
      <w:r>
        <w:t xml:space="preserve"> items, parallel reconciliations across positions, P&amp;L, cash, dividends, corporate actions, and financing. 5–8 users across ops, fund accounting, and compliance. 200–800 breaks a day with month-end peaks.</w:t>
      </w:r>
    </w:p>
    <w:p w14:paraId="08E1C780" w14:textId="77777777" w:rsidR="008A2AA9" w:rsidRDefault="00000000">
      <w:pPr>
        <w:spacing w:after="140"/>
      </w:pPr>
      <w:r>
        <w:rPr>
          <w:b/>
          <w:bCs/>
        </w:rPr>
        <w:t>Asset manager or fund family.</w:t>
      </w:r>
      <w:r>
        <w:t xml:space="preserve"> 10–30 funds, daily NAV strike, 100,000+ positions, several reconciliations running in parallel, 5–10 users. This is the upper edge of the baseline — peak days may call for some targeted tuning.</w:t>
      </w:r>
    </w:p>
    <w:p w14:paraId="58AF3212" w14:textId="5422BC3A" w:rsidR="008A2AA9" w:rsidRPr="00921383" w:rsidRDefault="00921383" w:rsidP="00921383">
      <w:pPr>
        <w:pStyle w:val="Heading2"/>
      </w:pPr>
      <w:r>
        <w:t>Enhanced Requirements for Upper Tier Clients</w:t>
      </w:r>
    </w:p>
    <w:p w14:paraId="4B34E07D" w14:textId="77777777" w:rsidR="00921383" w:rsidRDefault="00921383" w:rsidP="00921383">
      <w:r>
        <w:t xml:space="preserve">Larger clients generally require enhanced capacity planning. </w:t>
      </w:r>
      <w:r>
        <w:t>The specific shape of that resize gets worked out with the client. Institutional asset managers at this level usually have their own infrastructure team with established expectations around deployment topology, security, and compliance. They have their own approach to capacity planning, and their automation needs look quite different</w:t>
      </w:r>
      <w:r>
        <w:t xml:space="preserve">: </w:t>
      </w:r>
    </w:p>
    <w:p w14:paraId="00CFF173" w14:textId="19CB8DD2" w:rsidR="00921383" w:rsidRDefault="00921383" w:rsidP="00921383">
      <w:pPr>
        <w:pStyle w:val="ListParagraph"/>
        <w:numPr>
          <w:ilvl w:val="0"/>
          <w:numId w:val="2"/>
        </w:numPr>
      </w:pPr>
      <w:r>
        <w:t>proprietary</w:t>
      </w:r>
      <w:r>
        <w:t xml:space="preserve"> </w:t>
      </w:r>
      <w:r>
        <w:t>data</w:t>
      </w:r>
      <w:r>
        <w:t xml:space="preserve"> </w:t>
      </w:r>
      <w:r>
        <w:t>pipelines</w:t>
      </w:r>
      <w:r>
        <w:t xml:space="preserve">, </w:t>
      </w:r>
    </w:p>
    <w:p w14:paraId="5F3F88A9" w14:textId="02426FD9" w:rsidR="00921383" w:rsidRDefault="00921383" w:rsidP="00921383">
      <w:pPr>
        <w:pStyle w:val="ListParagraph"/>
        <w:numPr>
          <w:ilvl w:val="0"/>
          <w:numId w:val="2"/>
        </w:numPr>
      </w:pPr>
      <w:r>
        <w:t>multiple</w:t>
      </w:r>
      <w:r>
        <w:t xml:space="preserve"> close cadences</w:t>
      </w:r>
      <w:r>
        <w:t xml:space="preserve"> scoped per region</w:t>
      </w:r>
    </w:p>
    <w:p w14:paraId="4FA05A48" w14:textId="05F63143" w:rsidR="00921383" w:rsidRDefault="00921383" w:rsidP="00921383">
      <w:pPr>
        <w:pStyle w:val="ListParagraph"/>
        <w:numPr>
          <w:ilvl w:val="0"/>
          <w:numId w:val="2"/>
        </w:numPr>
      </w:pPr>
      <w:r>
        <w:t>custom</w:t>
      </w:r>
      <w:r>
        <w:t xml:space="preserve"> SLAs</w:t>
      </w:r>
    </w:p>
    <w:p w14:paraId="16C7AF5B" w14:textId="4E9DB8A6" w:rsidR="00921383" w:rsidRDefault="00921383" w:rsidP="00921383">
      <w:pPr>
        <w:pStyle w:val="ListParagraph"/>
        <w:numPr>
          <w:ilvl w:val="0"/>
          <w:numId w:val="2"/>
        </w:numPr>
      </w:pPr>
      <w:r>
        <w:t>integrations spanning a wider set of upstream systems</w:t>
      </w:r>
    </w:p>
    <w:p w14:paraId="758152C3" w14:textId="2B23C84B" w:rsidR="00921383" w:rsidRDefault="00921383" w:rsidP="00921383">
      <w:r>
        <w:t>Sizing here is something we design jointly with the client, around their actual operating profile and infrastructure, rather than off a fixed template.</w:t>
      </w:r>
    </w:p>
    <w:p w14:paraId="1E39E72E" w14:textId="7D50FFE4" w:rsidR="00921383" w:rsidRDefault="00921383">
      <w:pPr>
        <w:spacing w:after="140"/>
      </w:pPr>
    </w:p>
    <w:p w14:paraId="5101F097" w14:textId="77EB810B" w:rsidR="00921383" w:rsidRPr="00921383" w:rsidRDefault="00921383">
      <w:pPr>
        <w:spacing w:after="140"/>
        <w:rPr>
          <w:u w:val="single"/>
        </w:rPr>
      </w:pPr>
      <w:r w:rsidRPr="00921383">
        <w:rPr>
          <w:u w:val="single"/>
        </w:rPr>
        <w:t>Some examples:</w:t>
      </w:r>
    </w:p>
    <w:p w14:paraId="5420BBB2" w14:textId="539BE1FF" w:rsidR="008A2AA9" w:rsidRDefault="00000000">
      <w:pPr>
        <w:spacing w:after="140"/>
      </w:pPr>
      <w:r>
        <w:rPr>
          <w:b/>
          <w:bCs/>
        </w:rPr>
        <w:lastRenderedPageBreak/>
        <w:t>Large institutional asset manager.</w:t>
      </w:r>
      <w:r>
        <w:t xml:space="preserve"> 50+ funds, multi-asset, 500,000–1,000,000+ positions, T+0 reconciliation, 15–30 ops users across regions, peaks at close running 3–5× normal volume.</w:t>
      </w:r>
    </w:p>
    <w:p w14:paraId="5EBD6977" w14:textId="7ED423A8" w:rsidR="00921383" w:rsidRDefault="00000000">
      <w:pPr>
        <w:spacing w:after="140"/>
      </w:pPr>
      <w:r>
        <w:rPr>
          <w:b/>
          <w:bCs/>
        </w:rPr>
        <w:t>Fund administrators servicing a pool of funds</w:t>
      </w:r>
      <w:r w:rsidR="00921383">
        <w:rPr>
          <w:b/>
          <w:bCs/>
        </w:rPr>
        <w:t>.</w:t>
      </w:r>
      <w:r>
        <w:t xml:space="preserve"> 50–200 funds, 1–5M positions a day, multi-tenant</w:t>
      </w:r>
      <w:r w:rsidR="00921383">
        <w:t xml:space="preserve"> client workspaces with cross-tenant internal ops</w:t>
      </w:r>
      <w:r>
        <w:t>, 20–50+ users</w:t>
      </w:r>
      <w:r w:rsidR="00921383">
        <w:t>.</w:t>
      </w:r>
    </w:p>
    <w:p w14:paraId="64FA2166" w14:textId="3C3FF1F5" w:rsidR="00921383" w:rsidRDefault="00921383">
      <w:pPr>
        <w:spacing w:after="140"/>
      </w:pPr>
      <w:r>
        <w:rPr>
          <w:b/>
          <w:bCs/>
        </w:rPr>
        <w:t>B</w:t>
      </w:r>
      <w:r w:rsidR="00000000">
        <w:rPr>
          <w:b/>
          <w:bCs/>
        </w:rPr>
        <w:t>ank-level back offices</w:t>
      </w:r>
      <w:r>
        <w:rPr>
          <w:b/>
          <w:bCs/>
        </w:rPr>
        <w:t>.</w:t>
      </w:r>
      <w:r w:rsidR="00000000">
        <w:t xml:space="preserve"> 10M+ records, 24/7 operations, dozens of upstream integrations</w:t>
      </w:r>
      <w:r>
        <w:t>.</w:t>
      </w:r>
    </w:p>
    <w:p w14:paraId="5169D1E4" w14:textId="0177E5AC" w:rsidR="008A2AA9" w:rsidRDefault="00000000" w:rsidP="00921383">
      <w:pPr>
        <w:spacing w:after="140"/>
      </w:pPr>
      <w:r>
        <w:t xml:space="preserve">The conversation here </w:t>
      </w:r>
      <w:proofErr w:type="gramStart"/>
      <w:r w:rsidR="00921383">
        <w:t>start</w:t>
      </w:r>
      <w:proofErr w:type="gramEnd"/>
      <w:r w:rsidR="00921383">
        <w:t xml:space="preserve"> </w:t>
      </w:r>
      <w:r>
        <w:t xml:space="preserve">with how the platform fits into the client’s existing IT landscape. Organizations at this scale already operate to defined standards for high availability and continuity, with established approaches to multi-region and </w:t>
      </w:r>
      <w:r w:rsidR="00921383">
        <w:t xml:space="preserve">intra-org </w:t>
      </w:r>
      <w:r>
        <w:t>isolation</w:t>
      </w:r>
      <w:r w:rsidR="00921383">
        <w:t xml:space="preserve"> with </w:t>
      </w:r>
      <w:r>
        <w:t>well-developed change management and regulatory processes.</w:t>
      </w:r>
    </w:p>
    <w:p w14:paraId="63A5F616" w14:textId="77777777" w:rsidR="008A2AA9" w:rsidRDefault="00000000">
      <w:pPr>
        <w:pStyle w:val="Heading2"/>
      </w:pPr>
      <w:r>
        <w:t>Additional environments</w:t>
      </w:r>
    </w:p>
    <w:p w14:paraId="70DE9729" w14:textId="77777777" w:rsidR="008A2AA9" w:rsidRDefault="00000000">
      <w:r>
        <w:t>As the platform takes on a more regular, business-critical role, organizations typically extend the initial deployment with additional environments. The two most common patterns are a standby production environment for business continuity (when reconciliation has become business-critical and HA / DR requirements come into play), and a dedicated test environment for rehearsing configuration changes, data migrations, and rule updates before they go live. The mix and topology of these environments is also something we work out with the client individually — around their continuity SLAs, RPO/RTO targets, and existing change-management processes.</w:t>
      </w:r>
    </w:p>
    <w:sectPr w:rsidR="008A2AA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8A3"/>
    <w:multiLevelType w:val="hybridMultilevel"/>
    <w:tmpl w:val="C392478E"/>
    <w:lvl w:ilvl="0" w:tplc="23C218E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2C68CF"/>
    <w:multiLevelType w:val="hybridMultilevel"/>
    <w:tmpl w:val="8EC8F3E4"/>
    <w:lvl w:ilvl="0" w:tplc="31C83B96">
      <w:start w:val="1"/>
      <w:numFmt w:val="bullet"/>
      <w:lvlText w:val="●"/>
      <w:lvlJc w:val="left"/>
      <w:pPr>
        <w:ind w:left="720" w:hanging="360"/>
      </w:pPr>
    </w:lvl>
    <w:lvl w:ilvl="1" w:tplc="61EC0988">
      <w:start w:val="1"/>
      <w:numFmt w:val="bullet"/>
      <w:lvlText w:val="○"/>
      <w:lvlJc w:val="left"/>
      <w:pPr>
        <w:ind w:left="1440" w:hanging="360"/>
      </w:pPr>
    </w:lvl>
    <w:lvl w:ilvl="2" w:tplc="F09E7C04">
      <w:start w:val="1"/>
      <w:numFmt w:val="bullet"/>
      <w:lvlText w:val="■"/>
      <w:lvlJc w:val="left"/>
      <w:pPr>
        <w:ind w:left="2160" w:hanging="360"/>
      </w:pPr>
    </w:lvl>
    <w:lvl w:ilvl="3" w:tplc="2280CA3E">
      <w:start w:val="1"/>
      <w:numFmt w:val="bullet"/>
      <w:lvlText w:val="●"/>
      <w:lvlJc w:val="left"/>
      <w:pPr>
        <w:ind w:left="2880" w:hanging="360"/>
      </w:pPr>
    </w:lvl>
    <w:lvl w:ilvl="4" w:tplc="5C687296">
      <w:start w:val="1"/>
      <w:numFmt w:val="bullet"/>
      <w:lvlText w:val="○"/>
      <w:lvlJc w:val="left"/>
      <w:pPr>
        <w:ind w:left="3600" w:hanging="360"/>
      </w:pPr>
    </w:lvl>
    <w:lvl w:ilvl="5" w:tplc="78BE7FFA">
      <w:start w:val="1"/>
      <w:numFmt w:val="bullet"/>
      <w:lvlText w:val="■"/>
      <w:lvlJc w:val="left"/>
      <w:pPr>
        <w:ind w:left="4320" w:hanging="360"/>
      </w:pPr>
    </w:lvl>
    <w:lvl w:ilvl="6" w:tplc="123CCB90">
      <w:start w:val="1"/>
      <w:numFmt w:val="bullet"/>
      <w:lvlText w:val="●"/>
      <w:lvlJc w:val="left"/>
      <w:pPr>
        <w:ind w:left="5040" w:hanging="360"/>
      </w:pPr>
    </w:lvl>
    <w:lvl w:ilvl="7" w:tplc="EDB01F86">
      <w:start w:val="1"/>
      <w:numFmt w:val="bullet"/>
      <w:lvlText w:val="●"/>
      <w:lvlJc w:val="left"/>
      <w:pPr>
        <w:ind w:left="5760" w:hanging="360"/>
      </w:pPr>
    </w:lvl>
    <w:lvl w:ilvl="8" w:tplc="D5501A46">
      <w:start w:val="1"/>
      <w:numFmt w:val="bullet"/>
      <w:lvlText w:val="●"/>
      <w:lvlJc w:val="left"/>
      <w:pPr>
        <w:ind w:left="6480" w:hanging="360"/>
      </w:pPr>
    </w:lvl>
  </w:abstractNum>
  <w:num w:numId="1" w16cid:durableId="2035184973">
    <w:abstractNumId w:val="1"/>
    <w:lvlOverride w:ilvl="0">
      <w:startOverride w:val="1"/>
    </w:lvlOverride>
  </w:num>
  <w:num w:numId="2" w16cid:durableId="532039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AA9"/>
    <w:rsid w:val="00102A0B"/>
    <w:rsid w:val="007C722A"/>
    <w:rsid w:val="008A2AA9"/>
    <w:rsid w:val="00921383"/>
    <w:rsid w:val="00AC0365"/>
    <w:rsid w:val="00D01BBB"/>
    <w:rsid w:val="00D728C3"/>
    <w:rsid w:val="00DE68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5841AFCB"/>
  <w15:docId w15:val="{00ABB629-6E5C-0748-A448-183BAFBDE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320" w:after="14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3405</Characters>
  <Application>Microsoft Office Word</Application>
  <DocSecurity>0</DocSecurity>
  <Lines>59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Levi Ioffe</cp:lastModifiedBy>
  <cp:revision>2</cp:revision>
  <dcterms:created xsi:type="dcterms:W3CDTF">2026-05-10T22:34:00Z</dcterms:created>
  <dcterms:modified xsi:type="dcterms:W3CDTF">2026-05-10T22:34:00Z</dcterms:modified>
</cp:coreProperties>
</file>