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5FD39" w14:textId="77777777" w:rsidR="00144C6A" w:rsidRDefault="00000000">
      <w:pPr>
        <w:spacing w:after="20"/>
      </w:pPr>
      <w:r>
        <w:rPr>
          <w:b/>
          <w:color w:val="1F3864"/>
          <w:sz w:val="44"/>
        </w:rPr>
        <w:t>Wealth Management FinOps</w:t>
      </w:r>
    </w:p>
    <w:p w14:paraId="5860283B" w14:textId="77777777" w:rsidR="00144C6A" w:rsidRDefault="00000000">
      <w:pPr>
        <w:spacing w:after="80"/>
      </w:pPr>
      <w:r>
        <w:rPr>
          <w:i/>
          <w:color w:val="5B6B7F"/>
          <w:sz w:val="20"/>
        </w:rPr>
        <w:t>A periodic read for operators, CFOs, and PE teams navigating growth and M&amp;A in WM.</w:t>
      </w:r>
    </w:p>
    <w:p w14:paraId="7BF445EF" w14:textId="77777777" w:rsidR="00144C6A" w:rsidRDefault="00000000">
      <w:pPr>
        <w:pBdr>
          <w:bottom w:val="single" w:sz="6" w:space="3" w:color="1F3864"/>
        </w:pBdr>
      </w:pPr>
      <w:r>
        <w:rPr>
          <w:b/>
          <w:sz w:val="24"/>
        </w:rPr>
        <w:t>Issue #3 — June 2026: Billing &amp; Revenue Operations — When Value Leaks</w:t>
      </w:r>
    </w:p>
    <w:p w14:paraId="56A13A4F" w14:textId="77777777" w:rsidR="00E74970" w:rsidRDefault="00E74970">
      <w:pPr>
        <w:pBdr>
          <w:bottom w:val="single" w:sz="4" w:space="3" w:color="1F3864"/>
        </w:pBdr>
        <w:spacing w:before="160" w:after="60"/>
        <w:rPr>
          <w:b/>
          <w:color w:val="1F3864"/>
          <w:sz w:val="25"/>
        </w:rPr>
      </w:pPr>
    </w:p>
    <w:p w14:paraId="652BCE3E" w14:textId="125B60E7" w:rsidR="00144C6A" w:rsidRDefault="00000000">
      <w:pPr>
        <w:pBdr>
          <w:bottom w:val="single" w:sz="4" w:space="3" w:color="1F3864"/>
        </w:pBdr>
        <w:spacing w:before="160" w:after="60"/>
      </w:pPr>
      <w:r>
        <w:rPr>
          <w:b/>
          <w:color w:val="1F3864"/>
          <w:sz w:val="25"/>
        </w:rPr>
        <w:t>Executive Summary</w:t>
      </w:r>
    </w:p>
    <w:p w14:paraId="5C941A6E" w14:textId="77777777" w:rsidR="00144C6A" w:rsidRDefault="00000000">
      <w:pPr>
        <w:spacing w:after="80"/>
        <w:ind w:left="360"/>
      </w:pPr>
      <w:r>
        <w:rPr>
          <w:b/>
          <w:color w:val="1F3864"/>
        </w:rPr>
        <w:t xml:space="preserve">•  </w:t>
      </w:r>
      <w:r>
        <w:rPr>
          <w:b/>
        </w:rPr>
        <w:t xml:space="preserve">The 25% problem, the 1–5% target: </w:t>
      </w:r>
      <w:r>
        <w:t>Up to 25% of deal value can evaporate post-close, but the slice that can be systematically recovered sits in the revenue lifecycle, where 1–5% of annual fee revenue leaks every year (MGI Research). Given the relatively static nature of billing contracts, this leakage is oftentimes recurring, measurable, and capturable.</w:t>
      </w:r>
    </w:p>
    <w:p w14:paraId="38C6DC1B" w14:textId="77777777" w:rsidR="00144C6A" w:rsidRDefault="00000000">
      <w:pPr>
        <w:spacing w:after="80"/>
        <w:ind w:left="360"/>
      </w:pPr>
      <w:r>
        <w:rPr>
          <w:b/>
          <w:color w:val="1F3864"/>
        </w:rPr>
        <w:t xml:space="preserve">•  </w:t>
      </w:r>
      <w:r>
        <w:rPr>
          <w:b/>
        </w:rPr>
        <w:t xml:space="preserve">Two firms, sixteen gaps: </w:t>
      </w:r>
      <w:r>
        <w:t>In a typical M&amp;A transaction, when an acquiring and acquired firm combine, their revenue lifecycles diverge across four segments, Bill → Collect → Record → Report, and four dimensions (Data, Process, People, Technology). The result is a "4×4" grid of common gaps.</w:t>
      </w:r>
    </w:p>
    <w:p w14:paraId="3FF6D219" w14:textId="06AE388D" w:rsidR="00144C6A" w:rsidRDefault="00000000">
      <w:pPr>
        <w:spacing w:after="80"/>
        <w:ind w:left="360"/>
      </w:pPr>
      <w:r>
        <w:rPr>
          <w:b/>
          <w:color w:val="1F3864"/>
        </w:rPr>
        <w:t xml:space="preserve">•  </w:t>
      </w:r>
      <w:r>
        <w:rPr>
          <w:b/>
        </w:rPr>
        <w:t xml:space="preserve">From risk to roadmap: </w:t>
      </w:r>
      <w:r w:rsidR="00E74970">
        <w:t>Running a</w:t>
      </w:r>
      <w:r>
        <w:t xml:space="preserve"> diagnostic "4×4" assessment, across segments and dimensions, maps value leakage across all sixteen cells and translates "we have integration risk" into a prioritized set of actions to minimize it, sixteen gaps that can be addressed through a sequenced roadmap.</w:t>
      </w:r>
    </w:p>
    <w:p w14:paraId="5B48C932" w14:textId="77777777" w:rsidR="00E74970" w:rsidRDefault="00E74970">
      <w:pPr>
        <w:spacing w:after="80"/>
        <w:ind w:left="360"/>
      </w:pPr>
    </w:p>
    <w:p w14:paraId="7AE6DE33" w14:textId="77777777" w:rsidR="00144C6A" w:rsidRDefault="00000000">
      <w:pPr>
        <w:pBdr>
          <w:bottom w:val="single" w:sz="4" w:space="3" w:color="1F3864"/>
        </w:pBdr>
        <w:spacing w:before="160" w:after="60"/>
      </w:pPr>
      <w:r>
        <w:rPr>
          <w:b/>
          <w:color w:val="1F3864"/>
          <w:sz w:val="25"/>
        </w:rPr>
        <w:t>Full Text</w:t>
      </w:r>
    </w:p>
    <w:p w14:paraId="1CF6F040" w14:textId="10BEAFB0" w:rsidR="00E74970" w:rsidRDefault="00000000">
      <w:pPr>
        <w:spacing w:after="100"/>
      </w:pPr>
      <w:r>
        <w:t>In our last issue</w:t>
      </w:r>
      <w:r w:rsidR="00474091">
        <w:t>, Newsletter #2,</w:t>
      </w:r>
      <w:r>
        <w:t xml:space="preserve"> we argued that integration value is won or lost at the "seams," the handoffs between systems. Nowhere is that more expensive than in billing and revenue operations. This is where firms lose more money than anywhere else, and not just because of bad data. </w:t>
      </w:r>
    </w:p>
    <w:p w14:paraId="0DACD47C" w14:textId="3A605703" w:rsidR="00E74970" w:rsidRDefault="00000000">
      <w:pPr>
        <w:spacing w:after="100"/>
      </w:pPr>
      <w:r>
        <w:t xml:space="preserve">In our experience, the revenue lifecycle of two firms is rarely the same, and the differences compound from the first joint billing cycle. We have seen reactive approaches to integrating billing cycles, and we know they do not work: real-time renegotiations of client contracts, an inability to report correct AUM and fees, and a scramble to close month-end. Time-to-fix runs long and cost-to-achieve runs high. </w:t>
      </w:r>
    </w:p>
    <w:p w14:paraId="05E7318F" w14:textId="7869CB65" w:rsidR="00144C6A" w:rsidRDefault="00000000">
      <w:pPr>
        <w:spacing w:after="100"/>
      </w:pPr>
      <w:r>
        <w:t>We therefore propose the framework we use to manage these risks, save money, and accelerate the desired outcomes before or soon after deal close. It is built from integration work spanning firms with $1B to $30B+ AUM in the wealth billing space.</w:t>
      </w:r>
    </w:p>
    <w:p w14:paraId="71F21F29" w14:textId="77777777" w:rsidR="00E74970" w:rsidRDefault="00E74970">
      <w:pPr>
        <w:spacing w:after="100"/>
      </w:pPr>
    </w:p>
    <w:p w14:paraId="1164E523" w14:textId="3C55543C" w:rsidR="00144C6A" w:rsidRDefault="00000000">
      <w:pPr>
        <w:spacing w:before="140" w:after="40"/>
      </w:pPr>
      <w:r>
        <w:rPr>
          <w:b/>
          <w:color w:val="1F3864"/>
          <w:sz w:val="23"/>
        </w:rPr>
        <w:t xml:space="preserve">1. Leakage Is </w:t>
      </w:r>
      <w:r w:rsidR="00474091">
        <w:rPr>
          <w:b/>
          <w:color w:val="1F3864"/>
          <w:sz w:val="23"/>
        </w:rPr>
        <w:t>Revenue Earned</w:t>
      </w:r>
      <w:r>
        <w:rPr>
          <w:b/>
          <w:color w:val="1F3864"/>
          <w:sz w:val="23"/>
        </w:rPr>
        <w:t>, Not Realized</w:t>
      </w:r>
    </w:p>
    <w:p w14:paraId="66B72D4E" w14:textId="77777777" w:rsidR="00144C6A" w:rsidRDefault="00000000">
      <w:pPr>
        <w:spacing w:after="60"/>
        <w:ind w:left="360"/>
      </w:pPr>
      <w:r>
        <w:rPr>
          <w:b/>
          <w:color w:val="1F3864"/>
        </w:rPr>
        <w:t xml:space="preserve">•  </w:t>
      </w:r>
      <w:r>
        <w:rPr>
          <w:b/>
        </w:rPr>
        <w:t xml:space="preserve">The Distinction: </w:t>
      </w:r>
      <w:r>
        <w:t>Spillage is value never captured: underpricing, reflexive discounting, bespoke legacy agreements. Leakage is value earned but lost after it is booked: fee-calculation breaks, householding errors, reconciliation gaps, missed collections. The revenue lifecycle carries both spillage and leakage, and the SEC has repeatedly flagged householding and breakpoint errors as a top exam deficiency. That makes it both a dollar problem and a compliance problem.</w:t>
      </w:r>
    </w:p>
    <w:p w14:paraId="20B17912" w14:textId="77777777" w:rsidR="00E74970" w:rsidRDefault="00E74970">
      <w:pPr>
        <w:spacing w:after="60"/>
        <w:ind w:left="360"/>
      </w:pPr>
    </w:p>
    <w:p w14:paraId="1C51EF04" w14:textId="77777777" w:rsidR="00144C6A" w:rsidRDefault="00000000">
      <w:pPr>
        <w:spacing w:before="140" w:after="40"/>
      </w:pPr>
      <w:r>
        <w:rPr>
          <w:b/>
          <w:color w:val="1F3864"/>
          <w:sz w:val="23"/>
        </w:rPr>
        <w:t>2. Assess the Revenue Lifecycle Through Stages and Dimensions</w:t>
      </w:r>
    </w:p>
    <w:p w14:paraId="0E4B3297" w14:textId="77777777" w:rsidR="00144C6A" w:rsidRDefault="00000000">
      <w:pPr>
        <w:spacing w:after="60"/>
        <w:ind w:left="360"/>
      </w:pPr>
      <w:r>
        <w:rPr>
          <w:b/>
          <w:color w:val="1F3864"/>
        </w:rPr>
        <w:t xml:space="preserve">•  </w:t>
      </w:r>
      <w:r>
        <w:rPr>
          <w:b/>
        </w:rPr>
        <w:t xml:space="preserve">The Framework: </w:t>
      </w:r>
      <w:r>
        <w:t>Score the gap between the two firms at each of four stages, Bill, Collect, Record, and Report, across four dimensions, Data, Process, People, and Technology. The result is a sixteen-point map that clearly shows the gaps and the required integration actions: sixteen cells, each holding the delta between acquirer and target, a "4×4" gap analysis. In this model, the Data-dimension cells (fee schema, householding accounts, collections data, revenue recognition) are where direct fee leakage concentrates.</w:t>
      </w:r>
    </w:p>
    <w:p w14:paraId="344519CB" w14:textId="77777777" w:rsidR="00E74970" w:rsidRDefault="00E74970">
      <w:pPr>
        <w:spacing w:after="60"/>
        <w:ind w:left="360"/>
      </w:pPr>
    </w:p>
    <w:p w14:paraId="75E07EED" w14:textId="77777777" w:rsidR="00144C6A" w:rsidRDefault="00000000">
      <w:pPr>
        <w:spacing w:before="140" w:after="40"/>
      </w:pPr>
      <w:r>
        <w:rPr>
          <w:b/>
          <w:color w:val="1F3864"/>
          <w:sz w:val="23"/>
        </w:rPr>
        <w:t>3. Elicit the Gap in One Day, in the Room</w:t>
      </w:r>
    </w:p>
    <w:p w14:paraId="40725384" w14:textId="6F6DCFA3" w:rsidR="00144C6A" w:rsidRDefault="00000000">
      <w:pPr>
        <w:spacing w:after="60"/>
        <w:ind w:left="360"/>
      </w:pPr>
      <w:r>
        <w:rPr>
          <w:b/>
          <w:color w:val="1F3864"/>
        </w:rPr>
        <w:t xml:space="preserve">•  </w:t>
      </w:r>
      <w:r>
        <w:rPr>
          <w:b/>
        </w:rPr>
        <w:t xml:space="preserve">The Method: </w:t>
      </w:r>
      <w:r>
        <w:t xml:space="preserve">FinOps Partners conducts a structured interview set, roughly thirty questions, each tagged to a stage, a dimension, and a specific gap cell, run on-site with both firms’ finance and ops leads. Every question is worded to </w:t>
      </w:r>
      <w:r w:rsidR="00E74970">
        <w:t>identify</w:t>
      </w:r>
      <w:r>
        <w:t xml:space="preserve"> the difference between the firms, because the difference is the integration risk and the potential value-leakage area. Each gap is scored High, Medium, or Low: quick to run live, and defensible enough to drive the model.</w:t>
      </w:r>
      <w:r w:rsidR="00474091">
        <w:t xml:space="preserve">  Time to </w:t>
      </w:r>
      <w:proofErr w:type="gramStart"/>
      <w:r w:rsidR="00474091">
        <w:t>gaps</w:t>
      </w:r>
      <w:proofErr w:type="gramEnd"/>
      <w:r w:rsidR="00474091">
        <w:t xml:space="preserve"> diagnosis and required action is fast, measured in days.</w:t>
      </w:r>
    </w:p>
    <w:p w14:paraId="525F7D5D" w14:textId="77777777" w:rsidR="00E74970" w:rsidRDefault="00E74970">
      <w:pPr>
        <w:spacing w:after="60"/>
        <w:ind w:left="360"/>
      </w:pPr>
    </w:p>
    <w:p w14:paraId="7CFACDE2" w14:textId="77777777" w:rsidR="00144C6A" w:rsidRDefault="00000000">
      <w:pPr>
        <w:spacing w:before="140" w:after="40"/>
      </w:pPr>
      <w:r>
        <w:rPr>
          <w:b/>
          <w:color w:val="1F3864"/>
          <w:sz w:val="23"/>
        </w:rPr>
        <w:t>4. Score Leakage Against Effort, Then Manage Dependencies and Scenarios</w:t>
      </w:r>
    </w:p>
    <w:p w14:paraId="3CB95CA0" w14:textId="0FF7194B" w:rsidR="00144C6A" w:rsidRDefault="00000000">
      <w:pPr>
        <w:spacing w:after="60"/>
        <w:ind w:left="360"/>
      </w:pPr>
      <w:r>
        <w:rPr>
          <w:b/>
          <w:color w:val="1F3864"/>
        </w:rPr>
        <w:t xml:space="preserve">•  </w:t>
      </w:r>
      <w:r>
        <w:rPr>
          <w:b/>
        </w:rPr>
        <w:t xml:space="preserve">The Engine: </w:t>
      </w:r>
      <w:r>
        <w:t xml:space="preserve">Each </w:t>
      </w:r>
      <w:r w:rsidR="00E74970">
        <w:t>4x4 gap</w:t>
      </w:r>
      <w:r>
        <w:t xml:space="preserve"> is scored on two axes, leakage exposure and convergence effort, which places it in a priority quadrant. A dependency layer then re-orders raw priority so that prerequisite work, such as chart-of-accounts mapping and fee-schema alignment, is not scheduled after the work that depends on it. Priority alone does not determine sequence; the critical path does. This optimizes time-to-value in deal-synergy delivery while minimizing leakage risk.</w:t>
      </w:r>
      <w:r w:rsidR="00474091">
        <w:t xml:space="preserve">  This approach is standardized and can be applied for every deal.</w:t>
      </w:r>
    </w:p>
    <w:p w14:paraId="08C27E52" w14:textId="77777777" w:rsidR="00E74970" w:rsidRDefault="00E74970">
      <w:pPr>
        <w:spacing w:after="60"/>
        <w:ind w:left="360"/>
      </w:pPr>
    </w:p>
    <w:p w14:paraId="2E2333FA" w14:textId="77777777" w:rsidR="00144C6A" w:rsidRDefault="00000000">
      <w:pPr>
        <w:spacing w:before="140" w:after="40"/>
      </w:pPr>
      <w:r>
        <w:rPr>
          <w:b/>
          <w:color w:val="1F3864"/>
          <w:sz w:val="23"/>
        </w:rPr>
        <w:t>5. Deliver a Roadmap, Tailored for Agile Delivery</w:t>
      </w:r>
    </w:p>
    <w:p w14:paraId="178DCD19" w14:textId="77777777" w:rsidR="00144C6A" w:rsidRDefault="00000000">
      <w:pPr>
        <w:spacing w:after="60"/>
        <w:ind w:left="360"/>
      </w:pPr>
      <w:r>
        <w:rPr>
          <w:b/>
          <w:color w:val="1F3864"/>
        </w:rPr>
        <w:t xml:space="preserve">•  </w:t>
      </w:r>
      <w:r>
        <w:rPr>
          <w:b/>
        </w:rPr>
        <w:t xml:space="preserve">The Output: </w:t>
      </w:r>
      <w:r>
        <w:t>The diagnostic produces the dollar value-at-risk (for example, the 1–5% envelope, allocated across the revenue-bearing areas and scaled to the firm’s AUM, clients, and fee basis) and a phased, dependency-ordered roadmap to close the gaps over a set period. The roadmap is built on a single source of truth: each 4×4 gap score drives both a dollar estimate and a criticality rank, which in turn map to a standard set of convergence and gap-closure actions on a critical-path roadmap, each with a defined outcome, timeline, and owner, that can be actively managed using the critical path method.</w:t>
      </w:r>
    </w:p>
    <w:p w14:paraId="24B2BF83" w14:textId="77777777" w:rsidR="00E74970" w:rsidRDefault="00E74970">
      <w:pPr>
        <w:spacing w:after="60"/>
        <w:ind w:left="360"/>
      </w:pPr>
    </w:p>
    <w:p w14:paraId="3601F24D" w14:textId="77777777" w:rsidR="00144C6A" w:rsidRDefault="00000000">
      <w:pPr>
        <w:pBdr>
          <w:bottom w:val="single" w:sz="4" w:space="3" w:color="1F3864"/>
        </w:pBdr>
        <w:spacing w:before="160" w:after="60"/>
      </w:pPr>
      <w:r>
        <w:rPr>
          <w:b/>
          <w:color w:val="1F3864"/>
          <w:sz w:val="25"/>
        </w:rPr>
        <w:t>The Bottom Line</w:t>
      </w:r>
    </w:p>
    <w:p w14:paraId="03B952FC" w14:textId="77777777" w:rsidR="00144C6A" w:rsidRDefault="00000000">
      <w:pPr>
        <w:spacing w:after="100"/>
      </w:pPr>
      <w:r>
        <w:t>Billing and revenue operations are the highest-yield place to do the "boring" work of data and process hygiene, because the leakage is recurring and the fix can be prioritized and sequenced. In our experience, the firms that capture the prize do the bulk of the work before Day 1, ahead of deal close: they find the sixteen gaps, size the synergy dollars at stake, and close them in dependency order. The FinOps approach is a one-day diagnostic, a 4×4 assessment, that takes a benchmark model into your own M&amp;A and turns a generic range into your value number and action list, converting a list of worries into a roadmap. In other words, this is how "Day 2" finance and operations efforts protect "Day 1" deal valuations.</w:t>
      </w:r>
    </w:p>
    <w:p w14:paraId="2122B727" w14:textId="77777777" w:rsidR="00474091" w:rsidRDefault="00474091">
      <w:pPr>
        <w:spacing w:after="100"/>
      </w:pPr>
    </w:p>
    <w:p w14:paraId="67EFBFA4" w14:textId="48C9CE4C" w:rsidR="00144C6A" w:rsidRDefault="00000000">
      <w:pPr>
        <w:rPr>
          <w:i/>
          <w:color w:val="5B6B7F"/>
          <w:sz w:val="19"/>
        </w:rPr>
      </w:pPr>
      <w:r>
        <w:rPr>
          <w:i/>
          <w:color w:val="5B6B7F"/>
          <w:sz w:val="19"/>
        </w:rPr>
        <w:t xml:space="preserve">See more at </w:t>
      </w:r>
      <w:hyperlink r:id="rId8" w:history="1">
        <w:r w:rsidR="00E74970" w:rsidRPr="00A40ED4">
          <w:rPr>
            <w:rStyle w:val="Hyperlink"/>
            <w:i/>
            <w:sz w:val="19"/>
          </w:rPr>
          <w:t>www.finopspartners.io</w:t>
        </w:r>
      </w:hyperlink>
    </w:p>
    <w:p w14:paraId="62A3D9CC" w14:textId="77777777" w:rsidR="00474091" w:rsidRDefault="00474091">
      <w:pPr>
        <w:rPr>
          <w:i/>
          <w:color w:val="5B6B7F"/>
          <w:sz w:val="19"/>
        </w:rPr>
      </w:pPr>
    </w:p>
    <w:p w14:paraId="04A78822" w14:textId="42E75687" w:rsidR="00E74970" w:rsidRDefault="00E74970" w:rsidP="00474091">
      <w:pPr>
        <w:pBdr>
          <w:bottom w:val="single" w:sz="4" w:space="3" w:color="BF9000"/>
        </w:pBdr>
        <w:spacing w:before="160" w:after="40"/>
      </w:pPr>
      <w:r>
        <w:rPr>
          <w:b/>
          <w:color w:val="BF9000"/>
        </w:rPr>
        <w:t xml:space="preserve">Coming Next: </w:t>
      </w:r>
      <w:r>
        <w:rPr>
          <w:i/>
        </w:rPr>
        <w:t>Issue #4 — Cost &amp; Expense Operations: harmonizing vendors, compensation, and the cost-to-achieve in M&amp;A deal execution.</w:t>
      </w:r>
    </w:p>
    <w:p w14:paraId="5BDE132D" w14:textId="77777777" w:rsidR="00474091" w:rsidRDefault="00474091" w:rsidP="00474091">
      <w:pPr>
        <w:pBdr>
          <w:bottom w:val="single" w:sz="4" w:space="3" w:color="BF9000"/>
        </w:pBdr>
        <w:spacing w:before="160" w:after="40"/>
      </w:pPr>
    </w:p>
    <w:sectPr w:rsidR="00474091" w:rsidSect="00034616">
      <w:footerReference w:type="default" r:id="rId9"/>
      <w:pgSz w:w="12240" w:h="15840"/>
      <w:pgMar w:top="864" w:right="1224" w:bottom="792"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F3A7" w14:textId="77777777" w:rsidR="004D5E27" w:rsidRDefault="004D5E27">
      <w:pPr>
        <w:spacing w:after="0" w:line="240" w:lineRule="auto"/>
      </w:pPr>
      <w:r>
        <w:separator/>
      </w:r>
    </w:p>
  </w:endnote>
  <w:endnote w:type="continuationSeparator" w:id="0">
    <w:p w14:paraId="798221F7" w14:textId="77777777" w:rsidR="004D5E27" w:rsidRDefault="004D5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AA65" w14:textId="77777777" w:rsidR="00E74970" w:rsidRDefault="00E74970" w:rsidP="00E74970">
    <w:pPr>
      <w:pStyle w:val="Header"/>
      <w:jc w:val="center"/>
    </w:pPr>
    <w:r>
      <w:rPr>
        <w:color w:val="5B6B7F"/>
        <w:sz w:val="15"/>
      </w:rPr>
      <w:t>Wealth Management FinOps  ·  Issue #3  ·  Billing &amp; Revenue Operations  ·  FinOps Partners LLC  ·  finopspartners.io</w:t>
    </w:r>
  </w:p>
  <w:p w14:paraId="4AC495CA" w14:textId="77777777" w:rsidR="00E74970" w:rsidRDefault="00E74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AD2A" w14:textId="77777777" w:rsidR="004D5E27" w:rsidRDefault="004D5E27">
      <w:pPr>
        <w:spacing w:after="0" w:line="240" w:lineRule="auto"/>
      </w:pPr>
      <w:r>
        <w:separator/>
      </w:r>
    </w:p>
  </w:footnote>
  <w:footnote w:type="continuationSeparator" w:id="0">
    <w:p w14:paraId="2EFD1C3E" w14:textId="77777777" w:rsidR="004D5E27" w:rsidRDefault="004D5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9005342">
    <w:abstractNumId w:val="8"/>
  </w:num>
  <w:num w:numId="2" w16cid:durableId="383451947">
    <w:abstractNumId w:val="6"/>
  </w:num>
  <w:num w:numId="3" w16cid:durableId="87429897">
    <w:abstractNumId w:val="5"/>
  </w:num>
  <w:num w:numId="4" w16cid:durableId="2067218560">
    <w:abstractNumId w:val="4"/>
  </w:num>
  <w:num w:numId="5" w16cid:durableId="771122807">
    <w:abstractNumId w:val="7"/>
  </w:num>
  <w:num w:numId="6" w16cid:durableId="584069513">
    <w:abstractNumId w:val="3"/>
  </w:num>
  <w:num w:numId="7" w16cid:durableId="1330980301">
    <w:abstractNumId w:val="2"/>
  </w:num>
  <w:num w:numId="8" w16cid:durableId="962685611">
    <w:abstractNumId w:val="1"/>
  </w:num>
  <w:num w:numId="9" w16cid:durableId="2065444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4C6A"/>
    <w:rsid w:val="0015074B"/>
    <w:rsid w:val="0029639D"/>
    <w:rsid w:val="00326F90"/>
    <w:rsid w:val="00474091"/>
    <w:rsid w:val="004D5E27"/>
    <w:rsid w:val="00AA1D8D"/>
    <w:rsid w:val="00AB0871"/>
    <w:rsid w:val="00B47730"/>
    <w:rsid w:val="00CB0664"/>
    <w:rsid w:val="00E749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2E21F"/>
  <w14:defaultImageDpi w14:val="300"/>
  <w15:docId w15:val="{C247CA40-8FC6-4D67-82EC-72335F20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4" w:lineRule="auto"/>
    </w:pPr>
    <w:rPr>
      <w:rFonts w:ascii="Calibri" w:hAnsi="Calibri"/>
      <w:color w:val="2A2A2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74970"/>
    <w:rPr>
      <w:color w:val="0000FF" w:themeColor="hyperlink"/>
      <w:u w:val="single"/>
    </w:rPr>
  </w:style>
  <w:style w:type="character" w:styleId="UnresolvedMention">
    <w:name w:val="Unresolved Mention"/>
    <w:basedOn w:val="DefaultParagraphFont"/>
    <w:uiPriority w:val="99"/>
    <w:semiHidden/>
    <w:unhideWhenUsed/>
    <w:rsid w:val="00E74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opspartners.i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Kres Marus</cp:lastModifiedBy>
  <cp:revision>2</cp:revision>
  <dcterms:created xsi:type="dcterms:W3CDTF">2026-06-30T16:48:00Z</dcterms:created>
  <dcterms:modified xsi:type="dcterms:W3CDTF">2026-06-30T16:48:00Z</dcterms:modified>
  <cp:category/>
</cp:coreProperties>
</file>